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C8" w:rsidRPr="00B772DA" w:rsidRDefault="003A24C8" w:rsidP="001618EB">
      <w:pPr>
        <w:pStyle w:val="Title"/>
        <w:rPr>
          <w:rFonts w:ascii="Burlingame Pro" w:hAnsi="Burlingame Pro"/>
          <w:sz w:val="24"/>
          <w:szCs w:val="24"/>
          <w:lang w:val="ro-RO"/>
        </w:rPr>
      </w:pPr>
      <w:bookmarkStart w:id="0" w:name="_tiggczi73ft7" w:colFirst="0" w:colLast="0"/>
      <w:bookmarkEnd w:id="0"/>
    </w:p>
    <w:p w:rsidR="003A24C8" w:rsidRPr="00B772DA" w:rsidRDefault="001618EB" w:rsidP="001618EB">
      <w:pPr>
        <w:tabs>
          <w:tab w:val="left" w:pos="1150"/>
        </w:tabs>
        <w:spacing w:after="0" w:line="240" w:lineRule="auto"/>
        <w:jc w:val="center"/>
        <w:rPr>
          <w:rFonts w:ascii="Burlingame Pro" w:hAnsi="Burlingame Pro"/>
          <w:b/>
          <w:sz w:val="24"/>
          <w:szCs w:val="24"/>
          <w:lang w:val="ro-RO"/>
        </w:rPr>
      </w:pPr>
      <w:bookmarkStart w:id="1" w:name="_xt4ttc654dsy" w:colFirst="0" w:colLast="0"/>
      <w:bookmarkEnd w:id="1"/>
      <w:r w:rsidRPr="00B772DA">
        <w:rPr>
          <w:rFonts w:ascii="Burlingame Pro" w:hAnsi="Burlingame Pro"/>
          <w:b/>
          <w:sz w:val="24"/>
          <w:szCs w:val="24"/>
          <w:lang w:val="ro-RO"/>
        </w:rPr>
        <w:t>Return Material Authorization</w:t>
      </w:r>
    </w:p>
    <w:p w:rsidR="003A24C8" w:rsidRPr="00B772DA" w:rsidRDefault="001618EB" w:rsidP="001618EB">
      <w:pPr>
        <w:tabs>
          <w:tab w:val="left" w:pos="1150"/>
        </w:tabs>
        <w:spacing w:after="0" w:line="240" w:lineRule="auto"/>
        <w:jc w:val="center"/>
        <w:rPr>
          <w:rFonts w:ascii="Burlingame Pro" w:hAnsi="Burlingame Pro"/>
          <w:b/>
          <w:sz w:val="24"/>
          <w:szCs w:val="24"/>
          <w:lang w:val="ro-RO"/>
        </w:rPr>
      </w:pPr>
      <w:r w:rsidRPr="00B772DA">
        <w:rPr>
          <w:rFonts w:ascii="Burlingame Pro" w:hAnsi="Burlingame Pro"/>
          <w:b/>
          <w:sz w:val="24"/>
          <w:szCs w:val="24"/>
          <w:lang w:val="ro-RO"/>
        </w:rPr>
        <w:t>Nr. ......../ ..........</w:t>
      </w:r>
      <w:bookmarkStart w:id="2" w:name="_nwlb6be7zery" w:colFirst="0" w:colLast="0"/>
      <w:bookmarkEnd w:id="2"/>
    </w:p>
    <w:p w:rsidR="00B772DA" w:rsidRPr="00B772DA" w:rsidRDefault="00B772DA" w:rsidP="001618EB">
      <w:pPr>
        <w:tabs>
          <w:tab w:val="left" w:pos="1150"/>
        </w:tabs>
        <w:spacing w:after="0" w:line="240" w:lineRule="auto"/>
        <w:jc w:val="center"/>
        <w:rPr>
          <w:rFonts w:ascii="Burlingame Pro" w:hAnsi="Burlingame Pro"/>
          <w:b/>
          <w:sz w:val="24"/>
          <w:szCs w:val="24"/>
          <w:lang w:val="ro-RO"/>
        </w:rPr>
      </w:pPr>
    </w:p>
    <w:p w:rsidR="001618EB" w:rsidRPr="00B772DA" w:rsidRDefault="001618EB" w:rsidP="001618EB">
      <w:pPr>
        <w:tabs>
          <w:tab w:val="left" w:pos="1150"/>
        </w:tabs>
        <w:spacing w:after="0" w:line="240" w:lineRule="auto"/>
        <w:jc w:val="center"/>
        <w:rPr>
          <w:rFonts w:ascii="Burlingame Pro" w:hAnsi="Burlingame Pro"/>
          <w:b/>
          <w:sz w:val="24"/>
          <w:szCs w:val="24"/>
          <w:lang w:val="ro-RO"/>
        </w:rPr>
      </w:pPr>
    </w:p>
    <w:tbl>
      <w:tblPr>
        <w:tblStyle w:val="a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7229"/>
      </w:tblGrid>
      <w:tr w:rsidR="003A24C8" w:rsidRPr="00B772DA" w:rsidTr="001618EB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4C8" w:rsidRPr="00B772DA" w:rsidRDefault="005C72B4">
            <w:pPr>
              <w:pStyle w:val="Heading1"/>
              <w:spacing w:before="0" w:after="0" w:line="240" w:lineRule="auto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bookmarkStart w:id="3" w:name="_tox5q762j5br" w:colFirst="0" w:colLast="0"/>
            <w:bookmarkEnd w:id="3"/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VESTRA INDUSTRY SRL</w:t>
            </w:r>
          </w:p>
          <w:p w:rsidR="003A24C8" w:rsidRPr="00B772DA" w:rsidRDefault="005C72B4">
            <w:pPr>
              <w:spacing w:line="276" w:lineRule="auto"/>
              <w:ind w:left="180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(în calitate de “</w:t>
            </w:r>
            <w:r w:rsidRPr="00B772DA">
              <w:rPr>
                <w:rFonts w:ascii="Burlingame Pro" w:hAnsi="Burlingame Pro"/>
                <w:b/>
                <w:color w:val="393C50"/>
                <w:sz w:val="22"/>
                <w:szCs w:val="22"/>
                <w:lang w:val="ro-RO"/>
              </w:rPr>
              <w:t>Furnizor</w:t>
            </w: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”)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4C8" w:rsidRPr="00B772DA" w:rsidRDefault="005C72B4">
            <w:pPr>
              <w:pStyle w:val="Heading1"/>
              <w:widowControl w:val="0"/>
              <w:spacing w:before="0" w:after="0" w:line="240" w:lineRule="auto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bookmarkStart w:id="4" w:name="_iji61xud1ffn" w:colFirst="0" w:colLast="0"/>
            <w:bookmarkEnd w:id="4"/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______________________________</w:t>
            </w:r>
          </w:p>
          <w:p w:rsidR="003A24C8" w:rsidRPr="00B772DA" w:rsidRDefault="005C72B4">
            <w:pPr>
              <w:widowControl w:val="0"/>
              <w:spacing w:after="0" w:line="240" w:lineRule="auto"/>
              <w:ind w:left="180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(în calitate de “</w:t>
            </w:r>
            <w:r w:rsidRPr="00B772DA">
              <w:rPr>
                <w:rFonts w:ascii="Burlingame Pro" w:hAnsi="Burlingame Pro"/>
                <w:b/>
                <w:color w:val="393C50"/>
                <w:sz w:val="22"/>
                <w:szCs w:val="22"/>
                <w:lang w:val="ro-RO"/>
              </w:rPr>
              <w:t>Beneficiar</w:t>
            </w: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”)</w:t>
            </w:r>
          </w:p>
        </w:tc>
      </w:tr>
      <w:tr w:rsidR="003A24C8" w:rsidRPr="00B772DA" w:rsidTr="001618EB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CUI 15969249</w:t>
            </w:r>
          </w:p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bookmarkStart w:id="5" w:name="_v2e9vdw27hgq" w:colFirst="0" w:colLast="0"/>
            <w:bookmarkEnd w:id="5"/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J07/58/2016</w:t>
            </w:r>
          </w:p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Str. Mihai Eminescu, nr. 85, Cătămărăști Deal, Botoșani, România</w:t>
            </w:r>
          </w:p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contact@vestra.ro</w:t>
            </w:r>
          </w:p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0231 507 060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CUI: ___________________________________</w:t>
            </w:r>
          </w:p>
          <w:p w:rsidR="003A24C8" w:rsidRPr="00B772DA" w:rsidRDefault="00B772DA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Adresă:</w:t>
            </w:r>
            <w:r w:rsidR="005C72B4"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________________________________</w:t>
            </w:r>
          </w:p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______________________________________</w:t>
            </w:r>
          </w:p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Email: _________________________________</w:t>
            </w:r>
          </w:p>
          <w:p w:rsidR="003A24C8" w:rsidRPr="00B772DA" w:rsidRDefault="005C72B4">
            <w:pPr>
              <w:pStyle w:val="Subtitle"/>
              <w:widowControl w:val="0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Tel: __________________________________</w:t>
            </w:r>
          </w:p>
        </w:tc>
      </w:tr>
      <w:tr w:rsidR="003A24C8" w:rsidRPr="00B772DA" w:rsidTr="001618EB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8EB" w:rsidRPr="00B772DA" w:rsidRDefault="001618EB" w:rsidP="001618EB">
            <w:pPr>
              <w:pStyle w:val="Subtitle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Contact: Alina Matei</w:t>
            </w:r>
          </w:p>
          <w:p w:rsidR="001618EB" w:rsidRPr="00B772DA" w:rsidRDefault="001618EB" w:rsidP="001618EB">
            <w:pPr>
              <w:pStyle w:val="Subtitle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>Telefon: 0755.043.121</w:t>
            </w:r>
          </w:p>
          <w:p w:rsidR="001618EB" w:rsidRPr="00B772DA" w:rsidRDefault="00BA2672" w:rsidP="001618EB">
            <w:pPr>
              <w:pStyle w:val="Subtitle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hyperlink r:id="rId6" w:history="1">
              <w:r w:rsidR="001618EB" w:rsidRPr="00B772DA">
                <w:rPr>
                  <w:rStyle w:val="Hyperlink"/>
                  <w:rFonts w:ascii="Burlingame Pro" w:hAnsi="Burlingame Pro"/>
                  <w:sz w:val="22"/>
                  <w:szCs w:val="22"/>
                  <w:lang w:val="ro-RO"/>
                </w:rPr>
                <w:t>alina.matei@vestra.ro</w:t>
              </w:r>
            </w:hyperlink>
            <w:r w:rsidR="001618EB"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 xml:space="preserve"> / </w:t>
            </w:r>
            <w:hyperlink r:id="rId7" w:history="1">
              <w:r w:rsidR="001618EB" w:rsidRPr="00B772DA">
                <w:rPr>
                  <w:rStyle w:val="Hyperlink"/>
                  <w:rFonts w:ascii="Burlingame Pro" w:hAnsi="Burlingame Pro"/>
                  <w:sz w:val="22"/>
                  <w:szCs w:val="22"/>
                  <w:lang w:val="ro-RO"/>
                </w:rPr>
                <w:t>comenzi@vestra.ro</w:t>
              </w:r>
            </w:hyperlink>
            <w:r w:rsidR="001618EB"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 xml:space="preserve"> </w:t>
            </w:r>
          </w:p>
          <w:p w:rsidR="001618EB" w:rsidRPr="00B772DA" w:rsidRDefault="001618EB" w:rsidP="001618EB">
            <w:pPr>
              <w:rPr>
                <w:lang w:val="ro-RO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4C8" w:rsidRPr="00B772DA" w:rsidRDefault="001618EB">
            <w:pPr>
              <w:pStyle w:val="Subtitle"/>
              <w:spacing w:after="0" w:line="276" w:lineRule="auto"/>
              <w:jc w:val="left"/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color w:val="393C50"/>
                <w:sz w:val="22"/>
                <w:szCs w:val="22"/>
                <w:lang w:val="ro-RO"/>
              </w:rPr>
              <w:t xml:space="preserve">Contact: </w:t>
            </w:r>
          </w:p>
        </w:tc>
      </w:tr>
    </w:tbl>
    <w:p w:rsidR="003A24C8" w:rsidRPr="00B772DA" w:rsidRDefault="003A24C8" w:rsidP="00F72DFB">
      <w:pPr>
        <w:jc w:val="both"/>
        <w:rPr>
          <w:rFonts w:ascii="Burlingame Pro" w:hAnsi="Burlingame Pro"/>
          <w:sz w:val="22"/>
          <w:szCs w:val="22"/>
          <w:lang w:val="ro-RO"/>
        </w:rPr>
      </w:pPr>
    </w:p>
    <w:tbl>
      <w:tblPr>
        <w:tblStyle w:val="PlainTable1"/>
        <w:tblW w:w="14981" w:type="dxa"/>
        <w:tblLayout w:type="fixed"/>
        <w:tblLook w:val="0600" w:firstRow="0" w:lastRow="0" w:firstColumn="0" w:lastColumn="0" w:noHBand="1" w:noVBand="1"/>
      </w:tblPr>
      <w:tblGrid>
        <w:gridCol w:w="1007"/>
        <w:gridCol w:w="4877"/>
        <w:gridCol w:w="2836"/>
        <w:gridCol w:w="2836"/>
        <w:gridCol w:w="3425"/>
      </w:tblGrid>
      <w:tr w:rsidR="001618EB" w:rsidRPr="00B772DA" w:rsidTr="00383360">
        <w:trPr>
          <w:trHeight w:val="681"/>
        </w:trPr>
        <w:tc>
          <w:tcPr>
            <w:tcW w:w="1007" w:type="dxa"/>
          </w:tcPr>
          <w:p w:rsidR="001618EB" w:rsidRPr="00B772DA" w:rsidRDefault="001618EB">
            <w:pPr>
              <w:rPr>
                <w:rFonts w:ascii="Burlingame Pro" w:hAnsi="Burlingame Pro"/>
                <w:b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877" w:type="dxa"/>
          </w:tcPr>
          <w:p w:rsidR="001618EB" w:rsidRPr="00B772DA" w:rsidRDefault="001618EB">
            <w:pPr>
              <w:rPr>
                <w:rFonts w:ascii="Burlingame Pro" w:hAnsi="Burlingame Pro"/>
                <w:b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>Cod produs</w:t>
            </w:r>
          </w:p>
        </w:tc>
        <w:tc>
          <w:tcPr>
            <w:tcW w:w="2836" w:type="dxa"/>
          </w:tcPr>
          <w:p w:rsidR="001618EB" w:rsidRPr="00B772DA" w:rsidRDefault="001618EB">
            <w:pPr>
              <w:rPr>
                <w:rFonts w:ascii="Burlingame Pro" w:hAnsi="Burlingame Pro"/>
                <w:b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>Cantitate</w:t>
            </w:r>
          </w:p>
        </w:tc>
        <w:tc>
          <w:tcPr>
            <w:tcW w:w="2836" w:type="dxa"/>
          </w:tcPr>
          <w:p w:rsidR="001618EB" w:rsidRPr="00B772DA" w:rsidRDefault="001618EB">
            <w:pPr>
              <w:rPr>
                <w:rFonts w:ascii="Burlingame Pro" w:hAnsi="Burlingame Pro"/>
                <w:b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>Nr. C</w:t>
            </w:r>
            <w:r w:rsidR="00B772DA"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>omandă</w:t>
            </w:r>
            <w:r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 xml:space="preserve"> Client </w:t>
            </w:r>
          </w:p>
        </w:tc>
        <w:tc>
          <w:tcPr>
            <w:tcW w:w="3425" w:type="dxa"/>
          </w:tcPr>
          <w:p w:rsidR="001618EB" w:rsidRPr="00B772DA" w:rsidRDefault="001618EB">
            <w:pPr>
              <w:rPr>
                <w:rFonts w:ascii="Burlingame Pro" w:hAnsi="Burlingame Pro"/>
                <w:b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>F</w:t>
            </w:r>
            <w:r w:rsidR="00B772DA"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>actură</w:t>
            </w:r>
            <w:r w:rsidR="00D10DD7" w:rsidRPr="00B772DA">
              <w:rPr>
                <w:rFonts w:ascii="Burlingame Pro" w:hAnsi="Burlingame Pro"/>
                <w:b/>
                <w:sz w:val="22"/>
                <w:szCs w:val="22"/>
                <w:lang w:val="ro-RO"/>
              </w:rPr>
              <w:t xml:space="preserve"> client</w:t>
            </w:r>
          </w:p>
        </w:tc>
      </w:tr>
      <w:tr w:rsidR="001618EB" w:rsidRPr="00B772DA" w:rsidTr="00383360">
        <w:trPr>
          <w:trHeight w:val="266"/>
        </w:trPr>
        <w:tc>
          <w:tcPr>
            <w:tcW w:w="1007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sz w:val="22"/>
                <w:szCs w:val="22"/>
                <w:lang w:val="ro-RO"/>
              </w:rPr>
              <w:t>1</w:t>
            </w:r>
          </w:p>
        </w:tc>
        <w:tc>
          <w:tcPr>
            <w:tcW w:w="4877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2836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2836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3425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</w:tr>
      <w:tr w:rsidR="001618EB" w:rsidRPr="00B772DA" w:rsidTr="00383360">
        <w:trPr>
          <w:trHeight w:val="278"/>
        </w:trPr>
        <w:tc>
          <w:tcPr>
            <w:tcW w:w="1007" w:type="dxa"/>
          </w:tcPr>
          <w:p w:rsidR="001618EB" w:rsidRPr="00B772DA" w:rsidRDefault="00D10DD7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sz w:val="22"/>
                <w:szCs w:val="22"/>
                <w:lang w:val="ro-RO"/>
              </w:rPr>
              <w:t>2</w:t>
            </w:r>
          </w:p>
        </w:tc>
        <w:tc>
          <w:tcPr>
            <w:tcW w:w="4877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2836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2836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3425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</w:tr>
      <w:tr w:rsidR="001618EB" w:rsidRPr="00B772DA" w:rsidTr="00383360">
        <w:trPr>
          <w:trHeight w:val="266"/>
        </w:trPr>
        <w:tc>
          <w:tcPr>
            <w:tcW w:w="1007" w:type="dxa"/>
          </w:tcPr>
          <w:p w:rsidR="001618EB" w:rsidRPr="00B772DA" w:rsidRDefault="00D10DD7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  <w:r w:rsidRPr="00B772DA">
              <w:rPr>
                <w:rFonts w:ascii="Burlingame Pro" w:hAnsi="Burlingame Pro"/>
                <w:sz w:val="22"/>
                <w:szCs w:val="22"/>
                <w:lang w:val="ro-RO"/>
              </w:rPr>
              <w:t>3</w:t>
            </w:r>
          </w:p>
        </w:tc>
        <w:tc>
          <w:tcPr>
            <w:tcW w:w="4877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2836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2836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  <w:tc>
          <w:tcPr>
            <w:tcW w:w="3425" w:type="dxa"/>
          </w:tcPr>
          <w:p w:rsidR="001618EB" w:rsidRPr="00B772DA" w:rsidRDefault="001618EB">
            <w:pPr>
              <w:rPr>
                <w:rFonts w:ascii="Burlingame Pro" w:hAnsi="Burlingame Pro"/>
                <w:sz w:val="22"/>
                <w:szCs w:val="22"/>
                <w:lang w:val="ro-RO"/>
              </w:rPr>
            </w:pPr>
          </w:p>
        </w:tc>
      </w:tr>
    </w:tbl>
    <w:p w:rsidR="003A24C8" w:rsidRPr="00B772DA" w:rsidRDefault="003A24C8">
      <w:pPr>
        <w:spacing w:line="276" w:lineRule="auto"/>
        <w:rPr>
          <w:rFonts w:ascii="Burlingame Pro" w:hAnsi="Burlingame Pro"/>
          <w:sz w:val="22"/>
          <w:szCs w:val="22"/>
          <w:lang w:val="ro-RO"/>
        </w:rPr>
      </w:pPr>
    </w:p>
    <w:p w:rsidR="003A24C8" w:rsidRDefault="003A24C8">
      <w:pPr>
        <w:spacing w:line="276" w:lineRule="auto"/>
        <w:rPr>
          <w:rFonts w:ascii="Burlingame Pro" w:hAnsi="Burlingame Pro"/>
          <w:sz w:val="22"/>
          <w:szCs w:val="22"/>
          <w:lang w:val="ro-RO"/>
        </w:rPr>
      </w:pPr>
      <w:bookmarkStart w:id="6" w:name="_GoBack"/>
      <w:bookmarkEnd w:id="6"/>
    </w:p>
    <w:p w:rsidR="0063391B" w:rsidRPr="00B772DA" w:rsidRDefault="0063391B">
      <w:pPr>
        <w:spacing w:line="276" w:lineRule="auto"/>
        <w:rPr>
          <w:rFonts w:ascii="Burlingame Pro" w:hAnsi="Burlingame Pro"/>
          <w:sz w:val="22"/>
          <w:szCs w:val="22"/>
          <w:lang w:val="ro-RO"/>
        </w:rPr>
      </w:pPr>
    </w:p>
    <w:p w:rsidR="00D10DD7" w:rsidRPr="00B772DA" w:rsidRDefault="00B772DA" w:rsidP="00D10DD7">
      <w:pPr>
        <w:jc w:val="both"/>
        <w:rPr>
          <w:rFonts w:ascii="Burlingame Pro" w:hAnsi="Burlingame Pro"/>
          <w:sz w:val="22"/>
          <w:szCs w:val="22"/>
          <w:lang w:val="ro-RO"/>
        </w:rPr>
      </w:pPr>
      <w:bookmarkStart w:id="7" w:name="_9m23zhgjx2bh" w:colFirst="0" w:colLast="0"/>
      <w:bookmarkEnd w:id="7"/>
      <w:r w:rsidRPr="00B772DA">
        <w:rPr>
          <w:rFonts w:ascii="Burlingame Pro" w:hAnsi="Burlingame Pro"/>
          <w:sz w:val="22"/>
          <w:szCs w:val="22"/>
          <w:lang w:val="ro-RO"/>
        </w:rPr>
        <w:t>Detalii despre produs ș</w:t>
      </w:r>
      <w:r w:rsidR="00D10DD7" w:rsidRPr="00B772DA">
        <w:rPr>
          <w:rFonts w:ascii="Burlingame Pro" w:hAnsi="Burlingame Pro"/>
          <w:sz w:val="22"/>
          <w:szCs w:val="22"/>
          <w:lang w:val="ro-RO"/>
        </w:rPr>
        <w:t xml:space="preserve">i starea </w:t>
      </w:r>
      <w:r w:rsidRPr="00B772DA">
        <w:rPr>
          <w:rFonts w:ascii="Burlingame Pro" w:hAnsi="Burlingame Pro"/>
          <w:sz w:val="22"/>
          <w:szCs w:val="22"/>
          <w:lang w:val="ro-RO"/>
        </w:rPr>
        <w:t xml:space="preserve">coletului: </w:t>
      </w:r>
    </w:p>
    <w:p w:rsidR="00D10DD7" w:rsidRPr="00B772DA" w:rsidRDefault="00D10DD7" w:rsidP="00D10DD7">
      <w:pPr>
        <w:jc w:val="both"/>
        <w:rPr>
          <w:rFonts w:ascii="Burlingame Pro" w:hAnsi="Burlingame Pro"/>
          <w:sz w:val="22"/>
          <w:szCs w:val="22"/>
          <w:lang w:val="ro-RO"/>
        </w:rPr>
      </w:pPr>
      <w:r w:rsidRPr="00B772DA">
        <w:rPr>
          <w:rFonts w:ascii="Burlingame Pro" w:hAnsi="Burlingame Pro"/>
          <w:sz w:val="22"/>
          <w:szCs w:val="22"/>
          <w:lang w:val="ro-RO"/>
        </w:rPr>
        <w:t>1. Produsul este returnat fără cutia original</w:t>
      </w:r>
      <w:r w:rsidR="00B772DA" w:rsidRPr="00B772DA">
        <w:rPr>
          <w:rFonts w:ascii="Burlingame Pro" w:hAnsi="Burlingame Pro"/>
          <w:sz w:val="22"/>
          <w:szCs w:val="22"/>
          <w:lang w:val="ro-RO"/>
        </w:rPr>
        <w:t>ă</w:t>
      </w:r>
      <w:r w:rsidRPr="00B772DA">
        <w:rPr>
          <w:rFonts w:ascii="Burlingame Pro" w:hAnsi="Burlingame Pro"/>
          <w:sz w:val="22"/>
          <w:szCs w:val="22"/>
          <w:lang w:val="ro-RO"/>
        </w:rPr>
        <w:t xml:space="preserve"> – NU</w:t>
      </w:r>
    </w:p>
    <w:p w:rsidR="00D10DD7" w:rsidRPr="00B772DA" w:rsidRDefault="00D10DD7" w:rsidP="00D10DD7">
      <w:pPr>
        <w:jc w:val="both"/>
        <w:rPr>
          <w:rFonts w:ascii="Burlingame Pro" w:hAnsi="Burlingame Pro"/>
          <w:sz w:val="22"/>
          <w:szCs w:val="22"/>
          <w:lang w:val="ro-RO"/>
        </w:rPr>
      </w:pPr>
      <w:r w:rsidRPr="00B772DA">
        <w:rPr>
          <w:rFonts w:ascii="Burlingame Pro" w:hAnsi="Burlingame Pro"/>
          <w:sz w:val="22"/>
          <w:szCs w:val="22"/>
          <w:lang w:val="ro-RO"/>
        </w:rPr>
        <w:t>2. Produsul este returnat în cutia originală, dar cutia este marcată sau deschisă- NU</w:t>
      </w:r>
    </w:p>
    <w:p w:rsidR="00D10DD7" w:rsidRPr="00B772DA" w:rsidRDefault="00D10DD7" w:rsidP="00D10DD7">
      <w:pPr>
        <w:jc w:val="both"/>
        <w:rPr>
          <w:rFonts w:ascii="Burlingame Pro" w:hAnsi="Burlingame Pro"/>
          <w:sz w:val="22"/>
          <w:szCs w:val="22"/>
          <w:lang w:val="ro-RO"/>
        </w:rPr>
      </w:pPr>
      <w:r w:rsidRPr="00B772DA">
        <w:rPr>
          <w:rFonts w:ascii="Burlingame Pro" w:hAnsi="Burlingame Pro"/>
          <w:sz w:val="22"/>
          <w:szCs w:val="22"/>
          <w:lang w:val="ro-RO"/>
        </w:rPr>
        <w:t xml:space="preserve">3. Produsul este utilizat - a fost instalat sau a fost aplicat </w:t>
      </w:r>
      <w:r w:rsidR="00B772DA" w:rsidRPr="00B772DA">
        <w:rPr>
          <w:rFonts w:ascii="Burlingame Pro" w:hAnsi="Burlingame Pro"/>
          <w:sz w:val="22"/>
          <w:szCs w:val="22"/>
          <w:lang w:val="ro-RO"/>
        </w:rPr>
        <w:t>cur</w:t>
      </w:r>
      <w:r w:rsidRPr="00B772DA">
        <w:rPr>
          <w:rFonts w:ascii="Burlingame Pro" w:hAnsi="Burlingame Pro"/>
          <w:sz w:val="22"/>
          <w:szCs w:val="22"/>
          <w:lang w:val="ro-RO"/>
        </w:rPr>
        <w:t>ent- NU</w:t>
      </w:r>
    </w:p>
    <w:p w:rsidR="00D10DD7" w:rsidRPr="00B772DA" w:rsidRDefault="00D10DD7" w:rsidP="00D10DD7">
      <w:pPr>
        <w:jc w:val="both"/>
        <w:rPr>
          <w:rFonts w:ascii="Burlingame Pro" w:hAnsi="Burlingame Pro"/>
          <w:sz w:val="22"/>
          <w:szCs w:val="22"/>
          <w:lang w:val="ro-RO"/>
        </w:rPr>
      </w:pPr>
      <w:r w:rsidRPr="00B772DA">
        <w:rPr>
          <w:rFonts w:ascii="Burlingame Pro" w:hAnsi="Burlingame Pro"/>
          <w:sz w:val="22"/>
          <w:szCs w:val="22"/>
          <w:lang w:val="ro-RO"/>
        </w:rPr>
        <w:t>4. Produsul este deteriorat- NU</w:t>
      </w:r>
    </w:p>
    <w:p w:rsidR="00D10DD7" w:rsidRPr="00B772DA" w:rsidRDefault="00D10DD7" w:rsidP="00D10DD7">
      <w:pPr>
        <w:jc w:val="both"/>
        <w:rPr>
          <w:rFonts w:ascii="Burlingame Pro" w:hAnsi="Burlingame Pro"/>
          <w:sz w:val="22"/>
          <w:szCs w:val="22"/>
          <w:lang w:val="ro-RO"/>
        </w:rPr>
      </w:pPr>
      <w:r w:rsidRPr="00B772DA">
        <w:rPr>
          <w:rFonts w:ascii="Burlingame Pro" w:hAnsi="Burlingame Pro"/>
          <w:sz w:val="22"/>
          <w:szCs w:val="22"/>
          <w:lang w:val="ro-RO"/>
        </w:rPr>
        <w:t xml:space="preserve">5. Produsul a fost reparat- NU </w:t>
      </w:r>
    </w:p>
    <w:p w:rsidR="00D10DD7" w:rsidRPr="00B772DA" w:rsidRDefault="00D10DD7" w:rsidP="00D10DD7">
      <w:pPr>
        <w:jc w:val="both"/>
        <w:rPr>
          <w:rFonts w:ascii="Burlingame Pro" w:hAnsi="Burlingame Pro"/>
          <w:sz w:val="22"/>
          <w:szCs w:val="22"/>
          <w:lang w:val="ro-RO"/>
        </w:rPr>
      </w:pPr>
      <w:r w:rsidRPr="00B772DA">
        <w:rPr>
          <w:rFonts w:ascii="Burlingame Pro" w:hAnsi="Burlingame Pro"/>
          <w:sz w:val="22"/>
          <w:szCs w:val="22"/>
          <w:lang w:val="ro-RO"/>
        </w:rPr>
        <w:t>Dacă primim un produs ca</w:t>
      </w:r>
      <w:r w:rsidR="00B772DA" w:rsidRPr="00B772DA">
        <w:rPr>
          <w:rFonts w:ascii="Burlingame Pro" w:hAnsi="Burlingame Pro"/>
          <w:sz w:val="22"/>
          <w:szCs w:val="22"/>
          <w:lang w:val="ro-RO"/>
        </w:rPr>
        <w:t>re nu îndeplinește condiț</w:t>
      </w:r>
      <w:r w:rsidR="00B772DA">
        <w:rPr>
          <w:rFonts w:ascii="Burlingame Pro" w:hAnsi="Burlingame Pro"/>
          <w:sz w:val="22"/>
          <w:szCs w:val="22"/>
          <w:lang w:val="ro-RO"/>
        </w:rPr>
        <w:t>iile</w:t>
      </w:r>
      <w:r w:rsidRPr="00B772DA">
        <w:rPr>
          <w:rFonts w:ascii="Burlingame Pro" w:hAnsi="Burlingame Pro"/>
          <w:sz w:val="22"/>
          <w:szCs w:val="22"/>
          <w:lang w:val="ro-RO"/>
        </w:rPr>
        <w:t xml:space="preserve"> </w:t>
      </w:r>
      <w:r w:rsidR="00B772DA" w:rsidRPr="00B772DA">
        <w:rPr>
          <w:rFonts w:ascii="Burlingame Pro" w:hAnsi="Burlingame Pro"/>
          <w:sz w:val="22"/>
          <w:szCs w:val="22"/>
          <w:lang w:val="ro-RO"/>
        </w:rPr>
        <w:t>menț</w:t>
      </w:r>
      <w:r w:rsidRPr="00B772DA">
        <w:rPr>
          <w:rFonts w:ascii="Burlingame Pro" w:hAnsi="Burlingame Pro"/>
          <w:sz w:val="22"/>
          <w:szCs w:val="22"/>
          <w:lang w:val="ro-RO"/>
        </w:rPr>
        <w:t>ionate mai sus,</w:t>
      </w:r>
      <w:r w:rsidR="00B772DA" w:rsidRPr="00B772DA">
        <w:rPr>
          <w:rFonts w:ascii="Burlingame Pro" w:hAnsi="Burlingame Pro"/>
          <w:sz w:val="22"/>
          <w:szCs w:val="22"/>
          <w:lang w:val="ro-RO"/>
        </w:rPr>
        <w:t xml:space="preserve"> se vor percepe taxe suplimentare de r</w:t>
      </w:r>
      <w:r w:rsidR="00B772DA">
        <w:rPr>
          <w:rFonts w:ascii="Burlingame Pro" w:hAnsi="Burlingame Pro"/>
          <w:sz w:val="22"/>
          <w:szCs w:val="22"/>
          <w:lang w:val="ro-RO"/>
        </w:rPr>
        <w:t>etur în funcție de ră</w:t>
      </w:r>
      <w:r w:rsidR="00B772DA" w:rsidRPr="00B772DA">
        <w:rPr>
          <w:rFonts w:ascii="Burlingame Pro" w:hAnsi="Burlingame Pro"/>
          <w:sz w:val="22"/>
          <w:szCs w:val="22"/>
          <w:lang w:val="ro-RO"/>
        </w:rPr>
        <w:t>spunsul furnizorului sau,</w:t>
      </w:r>
      <w:r w:rsidRPr="00B772DA">
        <w:rPr>
          <w:rFonts w:ascii="Burlingame Pro" w:hAnsi="Burlingame Pro"/>
          <w:sz w:val="22"/>
          <w:szCs w:val="22"/>
          <w:lang w:val="ro-RO"/>
        </w:rPr>
        <w:t xml:space="preserve"> produsul va fi returnat </w:t>
      </w:r>
      <w:r w:rsidR="00B772DA">
        <w:rPr>
          <w:rFonts w:ascii="Burlingame Pro" w:hAnsi="Burlingame Pro"/>
          <w:sz w:val="22"/>
          <w:szCs w:val="22"/>
          <w:lang w:val="ro-RO"/>
        </w:rPr>
        <w:t>către client fără</w:t>
      </w:r>
      <w:r w:rsidRPr="00B772DA">
        <w:rPr>
          <w:rFonts w:ascii="Burlingame Pro" w:hAnsi="Burlingame Pro"/>
          <w:sz w:val="22"/>
          <w:szCs w:val="22"/>
          <w:lang w:val="ro-RO"/>
        </w:rPr>
        <w:t xml:space="preserve"> a se emite</w:t>
      </w:r>
      <w:r w:rsidR="00B772DA">
        <w:rPr>
          <w:rFonts w:ascii="Burlingame Pro" w:hAnsi="Burlingame Pro"/>
          <w:sz w:val="22"/>
          <w:szCs w:val="22"/>
          <w:lang w:val="ro-RO"/>
        </w:rPr>
        <w:t xml:space="preserve"> factură</w:t>
      </w:r>
      <w:r w:rsidRPr="00B772DA">
        <w:rPr>
          <w:rFonts w:ascii="Burlingame Pro" w:hAnsi="Burlingame Pro"/>
          <w:sz w:val="22"/>
          <w:szCs w:val="22"/>
          <w:lang w:val="ro-RO"/>
        </w:rPr>
        <w:t xml:space="preserve"> de</w:t>
      </w:r>
      <w:r w:rsidR="00B772DA" w:rsidRPr="00B772DA">
        <w:rPr>
          <w:rFonts w:ascii="Burlingame Pro" w:hAnsi="Burlingame Pro"/>
          <w:sz w:val="22"/>
          <w:szCs w:val="22"/>
          <w:lang w:val="ro-RO"/>
        </w:rPr>
        <w:t xml:space="preserve"> storno.</w:t>
      </w:r>
    </w:p>
    <w:sectPr w:rsidR="00D10DD7" w:rsidRPr="00B772DA" w:rsidSect="001618EB">
      <w:headerReference w:type="default" r:id="rId8"/>
      <w:footerReference w:type="default" r:id="rId9"/>
      <w:pgSz w:w="16838" w:h="11906" w:orient="landscape"/>
      <w:pgMar w:top="1080" w:right="851" w:bottom="1110" w:left="1134" w:header="0" w:footer="851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72" w:rsidRDefault="00BA2672">
      <w:pPr>
        <w:spacing w:after="0" w:line="240" w:lineRule="auto"/>
      </w:pPr>
      <w:r>
        <w:separator/>
      </w:r>
    </w:p>
  </w:endnote>
  <w:endnote w:type="continuationSeparator" w:id="0">
    <w:p w:rsidR="00BA2672" w:rsidRDefault="00BA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x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rlingame Pro">
    <w:panose1 w:val="00000000000000000000"/>
    <w:charset w:val="00"/>
    <w:family w:val="swiss"/>
    <w:notTrueType/>
    <w:pitch w:val="variable"/>
    <w:sig w:usb0="A000002F" w:usb1="5000000B" w:usb2="00000000" w:usb3="00000000" w:csb0="00000093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C8" w:rsidRDefault="005C72B4">
    <w:pPr>
      <w:jc w:val="right"/>
      <w:rPr>
        <w:color w:val="5D6366"/>
      </w:rPr>
    </w:pPr>
    <w:r>
      <w:rPr>
        <w:color w:val="5D6366"/>
      </w:rPr>
      <w:fldChar w:fldCharType="begin"/>
    </w:r>
    <w:r>
      <w:rPr>
        <w:color w:val="5D6366"/>
      </w:rPr>
      <w:instrText>PAGE</w:instrText>
    </w:r>
    <w:r>
      <w:rPr>
        <w:color w:val="5D6366"/>
      </w:rPr>
      <w:fldChar w:fldCharType="separate"/>
    </w:r>
    <w:r w:rsidR="00383360">
      <w:rPr>
        <w:noProof/>
        <w:color w:val="5D6366"/>
      </w:rPr>
      <w:t>2</w:t>
    </w:r>
    <w:r>
      <w:rPr>
        <w:color w:val="5D636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72" w:rsidRDefault="00BA2672">
      <w:pPr>
        <w:spacing w:after="0" w:line="240" w:lineRule="auto"/>
      </w:pPr>
      <w:r>
        <w:separator/>
      </w:r>
    </w:p>
  </w:footnote>
  <w:footnote w:type="continuationSeparator" w:id="0">
    <w:p w:rsidR="00BA2672" w:rsidRDefault="00BA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C8" w:rsidRDefault="003A24C8">
    <w:pPr>
      <w:rPr>
        <w:rFonts w:ascii="Montserrat" w:eastAsia="Montserrat" w:hAnsi="Montserrat" w:cs="Montserrat"/>
        <w:color w:val="91939D"/>
      </w:rPr>
    </w:pPr>
  </w:p>
  <w:p w:rsidR="003A24C8" w:rsidRDefault="00015887">
    <w:pPr>
      <w:spacing w:line="24" w:lineRule="auto"/>
      <w:rPr>
        <w:color w:val="91939D"/>
      </w:rPr>
    </w:pPr>
    <w:r>
      <w:rPr>
        <w:noProof/>
        <w:color w:val="91939D"/>
      </w:rPr>
      <w:drawing>
        <wp:inline distT="0" distB="0" distL="0" distR="0">
          <wp:extent cx="6147116" cy="635033"/>
          <wp:effectExtent l="0" t="0" r="6350" b="0"/>
          <wp:docPr id="1585724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72470" name="Picture 158572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7116" cy="63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C8"/>
    <w:rsid w:val="00015887"/>
    <w:rsid w:val="0008340A"/>
    <w:rsid w:val="001618EB"/>
    <w:rsid w:val="002324E6"/>
    <w:rsid w:val="00337619"/>
    <w:rsid w:val="00383360"/>
    <w:rsid w:val="003A24C8"/>
    <w:rsid w:val="005C72B4"/>
    <w:rsid w:val="0063391B"/>
    <w:rsid w:val="007D4C6C"/>
    <w:rsid w:val="00B772DA"/>
    <w:rsid w:val="00BA2672"/>
    <w:rsid w:val="00D10DD7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8289B-7582-4EED-8EEE-23D9155A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xo" w:eastAsia="Exo" w:hAnsi="Exo" w:cs="Exo"/>
        <w:color w:val="353C40"/>
        <w:sz w:val="16"/>
        <w:szCs w:val="16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1150"/>
      </w:tabs>
      <w:spacing w:before="320"/>
      <w:ind w:left="363"/>
      <w:outlineLvl w:val="0"/>
    </w:pPr>
    <w:rPr>
      <w:b/>
      <w:smallCaps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color w:val="5D6366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87"/>
  </w:style>
  <w:style w:type="paragraph" w:styleId="Footer">
    <w:name w:val="footer"/>
    <w:basedOn w:val="Normal"/>
    <w:link w:val="FooterChar"/>
    <w:uiPriority w:val="99"/>
    <w:unhideWhenUsed/>
    <w:rsid w:val="0001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87"/>
  </w:style>
  <w:style w:type="character" w:styleId="Hyperlink">
    <w:name w:val="Hyperlink"/>
    <w:basedOn w:val="DefaultParagraphFont"/>
    <w:uiPriority w:val="99"/>
    <w:unhideWhenUsed/>
    <w:rsid w:val="001618EB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1618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833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enzi@vestr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.matei@vestra.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10</cp:revision>
  <dcterms:created xsi:type="dcterms:W3CDTF">2023-05-04T08:57:00Z</dcterms:created>
  <dcterms:modified xsi:type="dcterms:W3CDTF">2023-05-30T07:35:00Z</dcterms:modified>
</cp:coreProperties>
</file>